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7" w:rsidRDefault="00392CC0" w:rsidP="001C4D5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56245" w:rsidRPr="00FD5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марта 202</w:t>
      </w:r>
      <w:r w:rsidR="000A4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D5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– Всемирный день борьбы с туберкулезом.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24 марта 2025 года ежегодно по инициативе Всемирной организации здравоохранения (ВОЗ) проводится Всемирный день борьбы с туберкулёзом.         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>Цель проведения данного мероприятия - информирование населения о данном заболевании и мерах профилактики, пропаганде здорового образа жизни.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 По данным ВОЗ около трети населения планеты инфицировано микобактерией туберкулеза. В мире ежегодно заболевает туберкулезом боле 10 млн. человек, из них – более 1 млн. – дети. Туберкулез по – прежнему входит в число 10 основных причин смерти в мире. На сегодняшний день туберкулез сохраняет за собой статус одной из социально значимых для Российской Федерации инфекций.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>В Республике Татарстан в 2024г. показатель заболеваемости составил 19,8 на 100 тыс. населения (793 новых случаев), что ниже уровня 2023 г. на 10% (22 на 100 тыс. населения или 881 случай).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>На 15 территориях муниципальных районов республики заболеваемость туберкулезом выше республиканского показателя</w:t>
      </w:r>
      <w:r>
        <w:t xml:space="preserve">. </w:t>
      </w:r>
      <w:r>
        <w:t xml:space="preserve">Наиболее значимое превышение заболеваемости отмечается в 1,5 раза и более в </w:t>
      </w:r>
      <w:proofErr w:type="spellStart"/>
      <w:r>
        <w:t>Верхнеуслонском</w:t>
      </w:r>
      <w:proofErr w:type="spellEnd"/>
      <w:r>
        <w:t xml:space="preserve">, Зеленодольском, Спасском, Новошешминском, </w:t>
      </w:r>
      <w:proofErr w:type="spellStart"/>
      <w:r>
        <w:t>Сармановском</w:t>
      </w:r>
      <w:proofErr w:type="spellEnd"/>
      <w:r>
        <w:t xml:space="preserve"> районах. 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 w:rsidRPr="000A4C73">
        <w:t>В 202</w:t>
      </w:r>
      <w:r>
        <w:t>4</w:t>
      </w:r>
      <w:r w:rsidRPr="000A4C73">
        <w:t xml:space="preserve"> году в Зеленодольском районе зарегистрировано </w:t>
      </w:r>
      <w:r>
        <w:t>53</w:t>
      </w:r>
      <w:r w:rsidRPr="000A4C73">
        <w:t xml:space="preserve"> случая впервые выявленного туберкулеза, показатель на 100 тыс. населения составил </w:t>
      </w:r>
      <w:r>
        <w:t>31</w:t>
      </w:r>
      <w:r w:rsidRPr="000A4C73">
        <w:t>,</w:t>
      </w:r>
      <w:r>
        <w:t>2</w:t>
      </w:r>
      <w:r w:rsidRPr="000A4C73">
        <w:t>. Отмечен р</w:t>
      </w:r>
      <w:r>
        <w:t>ост заболеваемости на 29</w:t>
      </w:r>
      <w:r w:rsidRPr="000A4C73">
        <w:t>,</w:t>
      </w:r>
      <w:r>
        <w:t>3</w:t>
      </w:r>
      <w:r w:rsidRPr="000A4C73">
        <w:t>% по сравнению с предыдущем годом</w:t>
      </w:r>
      <w:r>
        <w:t>.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В 2024г. заболеваемость туберкулезом среди детей и подростков до 17 лет по Республике Татарстан выросла на 3,1% и составила 3,3 на 100 тыс. детского населения (2023 г. – 3,2 на 100 </w:t>
      </w:r>
      <w:proofErr w:type="spellStart"/>
      <w:r>
        <w:t>тыс.нас</w:t>
      </w:r>
      <w:proofErr w:type="spellEnd"/>
      <w:r>
        <w:t>.)</w:t>
      </w:r>
      <w:r>
        <w:t>. В Зеленодольском районе среди детей зарегистрирован 1 случай (2</w:t>
      </w:r>
      <w:r w:rsidRPr="000A4C73">
        <w:t>,</w:t>
      </w:r>
      <w:r>
        <w:t>8</w:t>
      </w:r>
      <w:r w:rsidRPr="000A4C73">
        <w:t xml:space="preserve"> на 100 тыс. детского населения</w:t>
      </w:r>
      <w:r>
        <w:t>),</w:t>
      </w:r>
      <w:r w:rsidR="00953E92">
        <w:t xml:space="preserve"> как и в 2023 году. 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Заболеваемость детей является неблагоприятным прогностическим показателем и указывает на наличие не выявленных источников туберкулезной инфекции среди взрослого населения. 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Туберкулез – это хроническое инфекционное заболевание, вызываемое микобактериями туберкулеза и </w:t>
      </w:r>
      <w:r w:rsidR="00E83DD0">
        <w:t>поражающее различные органы</w:t>
      </w:r>
      <w:bookmarkStart w:id="0" w:name="_GoBack"/>
      <w:bookmarkEnd w:id="0"/>
      <w:r>
        <w:t xml:space="preserve"> и системы, но чаще всего органы дыхания.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Туберкулез распространяется от человека человеку через воздух воздушно-капельным путем. При кашле, чихании или отхаркивании люди с легочным туберкулезом выделяют в воздух микобактерии, которые распространяются в радиусе 1-6 метров и могут заразить площадь в 2-3 квадратных метра. 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>Возбудитель туберкулеза очень устойчив во внешней среде: в высохшей капле мокроты больного микобактерии могут сохраняться до 10 месяцев, а в темноте они сохраняют свою жизнеспособность до 3 лет. Могут длительное время сохраняться на белье и вещах больного, на книгах, коврах и предметах обихода. К низким температурам микобактерии туберкулеза малочувствительны: сохраняют жизнеспособность при температуре до минус 10°С в течение нескольких недель, при температуре минус 23°С до 7 лет. Кипячение убивает микобактерии через нескольких минут. Губительно действует на них солнечный свет, уже за 10-15 минут солнечный свет убивает микобактерию. Бактерицидные лампы, работающие 30 мин. в день способны полностью очищать помещение.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lastRenderedPageBreak/>
        <w:t xml:space="preserve">Основным методом, применяемым для профилактического обследования детского населения в целях раннего выявления туберкулеза, а </w:t>
      </w:r>
      <w:proofErr w:type="gramStart"/>
      <w:r>
        <w:t>также  инфицирования</w:t>
      </w:r>
      <w:proofErr w:type="gramEnd"/>
      <w:r>
        <w:t xml:space="preserve">  возбудителями туберкулеза у детей и подростков, является </w:t>
      </w:r>
      <w:proofErr w:type="spellStart"/>
      <w:r>
        <w:t>туберкулинодиагностика</w:t>
      </w:r>
      <w:proofErr w:type="spellEnd"/>
      <w:r>
        <w:t xml:space="preserve"> (иммунодиагностика)  -  постановка проб Манту детям с 6 месяцев до </w:t>
      </w:r>
      <w:r w:rsidR="00953E92">
        <w:t>7</w:t>
      </w:r>
      <w:r>
        <w:t xml:space="preserve"> лет, проведение </w:t>
      </w:r>
      <w:proofErr w:type="spellStart"/>
      <w:r>
        <w:t>диаскинтеста</w:t>
      </w:r>
      <w:proofErr w:type="spellEnd"/>
      <w:r>
        <w:t xml:space="preserve">- детям и подросткам с 8 лет до 18 лет. 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Туберкулин и </w:t>
      </w:r>
      <w:proofErr w:type="spellStart"/>
      <w:r>
        <w:t>диаскинтест</w:t>
      </w:r>
      <w:proofErr w:type="spellEnd"/>
      <w:r>
        <w:t xml:space="preserve"> не являются вакцинами, это не прививки!  Это диагностические препараты, разработанные с учетом их безопасного применения, допущены к использованию после прохождения исследований на эффективность и безопасность и не вызывают осложнений и отдаленных последствий. 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 Дети до 14 лет </w:t>
      </w:r>
      <w:proofErr w:type="spellStart"/>
      <w:proofErr w:type="gramStart"/>
      <w:r>
        <w:t>влючительно</w:t>
      </w:r>
      <w:proofErr w:type="spellEnd"/>
      <w:r>
        <w:t xml:space="preserve">,  </w:t>
      </w:r>
      <w:proofErr w:type="spellStart"/>
      <w:r>
        <w:t>туберкулинодиагностика</w:t>
      </w:r>
      <w:proofErr w:type="spellEnd"/>
      <w:proofErr w:type="gramEnd"/>
      <w:r>
        <w:t xml:space="preserve">, которым не проведена (в </w:t>
      </w:r>
      <w:proofErr w:type="spellStart"/>
      <w:r>
        <w:t>т.ч</w:t>
      </w:r>
      <w:proofErr w:type="spellEnd"/>
      <w:r>
        <w:t>. по причине отказов родителей)</w:t>
      </w:r>
      <w:r w:rsidR="00953E92">
        <w:t>,</w:t>
      </w:r>
      <w:r>
        <w:t xml:space="preserve"> допускаются в дошкольные образовательные организации, общеобразовательные организации и организации отдыха детей и их оздоровления при наличии заключения врача-фтизиатра об отсутствии у этих детей заболевания туберкулезом (п. 823 раздела VIII «Профилактика туберкулеза»  СанПиН 3.3686-21 «Санитарно-эпидемиологические требования по профилактике инфекционных болезней»).   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 Данное требование направлено как на предупреждение возникновения, распространения туберкулеза, так и соблюдение прав других детей на охрану здоровья и благоприятную среду обитания.  В случае приема в детское учреждение ребенка, не прошедшего профилактического обследования на туберкулез, имеется риск заноса туберкулезной инфекции в данное учреждение. В данном случае нарушаются права других детей, посещающих учреждение, ведь все граждане Российской Федерации имеют право на благоприятную среду обитания, факторы которой не оказывают вредного воздействия на человека (ст.</w:t>
      </w:r>
      <w:proofErr w:type="gramStart"/>
      <w:r>
        <w:t>8  Федерального</w:t>
      </w:r>
      <w:proofErr w:type="gramEnd"/>
      <w:r>
        <w:t xml:space="preserve"> закона от 30.03.1999 № 52-ФЗ «О санитарно-эпидемиологическом благополучии населения»).  Федеральный закон от 21 ноября 2011 г. N 323-ФЗ</w:t>
      </w:r>
      <w:r w:rsidR="00953E92">
        <w:t xml:space="preserve"> </w:t>
      </w:r>
      <w:r>
        <w:t xml:space="preserve">«Об основах охраны здоровья граждан в Российской Федерации» так же определяет право на </w:t>
      </w:r>
      <w:r w:rsidR="00953E92">
        <w:t>охрану здоровья</w:t>
      </w:r>
      <w:r>
        <w:t xml:space="preserve">, </w:t>
      </w:r>
      <w:r w:rsidR="00953E92">
        <w:t>которая обеспечивается</w:t>
      </w:r>
      <w:r>
        <w:t xml:space="preserve"> охраной окружающей среды, созданием безопасных и благоприятных условий труда, быта, отдыха, воспитания и обучения граждан.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 xml:space="preserve">При отказе родителей (законных представителей) ребенка от внутрикожных проб (Манту, </w:t>
      </w:r>
      <w:proofErr w:type="spellStart"/>
      <w:r>
        <w:t>диаскинтест</w:t>
      </w:r>
      <w:proofErr w:type="spellEnd"/>
      <w:r>
        <w:t>), возможно назначение альтернативных методов обследования с целью исключения туберкулеза у ребенка, которые позволяют получить заключение фтизиатра о наличии или отсутствии заболевания туберкулезом и решить вопрос о допуске детей в детскую организацию. Такими методами являются внутрикожный диагностический тест-аллерген туберкулезный рекомбинантный в стандартном разведении (</w:t>
      </w:r>
      <w:proofErr w:type="spellStart"/>
      <w:r>
        <w:t>Диаскинтест</w:t>
      </w:r>
      <w:proofErr w:type="spellEnd"/>
      <w:r>
        <w:t xml:space="preserve">), диагностические тесты, основанные на высвобождении Т- лимфоцитами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(T –</w:t>
      </w:r>
      <w:proofErr w:type="spellStart"/>
      <w:r>
        <w:t>Spot</w:t>
      </w:r>
      <w:proofErr w:type="spellEnd"/>
      <w:r>
        <w:t>) (Клинические рекомендации от 07.03.2017 г. «Выявление и диагностика туберкулеза у детей, поступающих и обучающихся в образовательных учреждениях»).</w:t>
      </w:r>
    </w:p>
    <w:p w:rsidR="000A4C73" w:rsidRDefault="000A4C73" w:rsidP="000A4C73">
      <w:pPr>
        <w:pStyle w:val="a3"/>
        <w:shd w:val="clear" w:color="auto" w:fill="FFFFFF"/>
        <w:spacing w:after="0"/>
        <w:ind w:left="45" w:right="45" w:firstLine="522"/>
        <w:jc w:val="both"/>
      </w:pPr>
      <w:r>
        <w:t>При письменном согласии родителей (иного законного представителя) возможно проведение рентгенологического исследования – обзорной рентгенограммы органов грудной клетки (Методические рекомендации по совершенствованию диагностики и лечения туберкулеза органов дыхания, утвержденные Приказом Министерства Здравоохранения РФ от 29 декабря 2014 г. № 951).</w:t>
      </w:r>
    </w:p>
    <w:p w:rsidR="000A4C73" w:rsidRDefault="00E83DD0" w:rsidP="000A4C73">
      <w:pPr>
        <w:pStyle w:val="a3"/>
        <w:shd w:val="clear" w:color="auto" w:fill="FFFFFF"/>
        <w:spacing w:before="0" w:beforeAutospacing="0" w:after="0" w:afterAutospacing="0"/>
        <w:ind w:left="45" w:right="45" w:firstLine="522"/>
        <w:jc w:val="both"/>
      </w:pPr>
      <w:r w:rsidRPr="00E83DD0">
        <w:t>Туберкулез можно предотвратить! Пора действовать! Пора остановить туберкулез!</w:t>
      </w:r>
    </w:p>
    <w:p w:rsidR="000A4C73" w:rsidRDefault="000A4C73" w:rsidP="000A4C73">
      <w:pPr>
        <w:pStyle w:val="a3"/>
        <w:shd w:val="clear" w:color="auto" w:fill="FFFFFF"/>
        <w:spacing w:before="0" w:beforeAutospacing="0" w:after="0" w:afterAutospacing="0"/>
        <w:ind w:left="45" w:right="45" w:firstLine="522"/>
        <w:jc w:val="both"/>
      </w:pPr>
    </w:p>
    <w:sectPr w:rsidR="000A4C73" w:rsidSect="00400B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23036"/>
    <w:multiLevelType w:val="hybridMultilevel"/>
    <w:tmpl w:val="7C1CD6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F0895"/>
    <w:multiLevelType w:val="multilevel"/>
    <w:tmpl w:val="D5B0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0761D"/>
    <w:multiLevelType w:val="multilevel"/>
    <w:tmpl w:val="2F24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A0"/>
    <w:rsid w:val="00036A84"/>
    <w:rsid w:val="000A2C9A"/>
    <w:rsid w:val="000A4C73"/>
    <w:rsid w:val="000E57B3"/>
    <w:rsid w:val="001324A0"/>
    <w:rsid w:val="001407CD"/>
    <w:rsid w:val="0017408B"/>
    <w:rsid w:val="001C4D52"/>
    <w:rsid w:val="001D4541"/>
    <w:rsid w:val="002823AE"/>
    <w:rsid w:val="00312FF1"/>
    <w:rsid w:val="00344DE3"/>
    <w:rsid w:val="003766DB"/>
    <w:rsid w:val="00392CC0"/>
    <w:rsid w:val="003B2B84"/>
    <w:rsid w:val="003C597E"/>
    <w:rsid w:val="00400BEC"/>
    <w:rsid w:val="00425928"/>
    <w:rsid w:val="004A190C"/>
    <w:rsid w:val="005A6107"/>
    <w:rsid w:val="00651FCC"/>
    <w:rsid w:val="00665A36"/>
    <w:rsid w:val="00682685"/>
    <w:rsid w:val="006D0761"/>
    <w:rsid w:val="007367FA"/>
    <w:rsid w:val="007E3BD9"/>
    <w:rsid w:val="008B7DC1"/>
    <w:rsid w:val="008F110C"/>
    <w:rsid w:val="008F576C"/>
    <w:rsid w:val="00901834"/>
    <w:rsid w:val="00953E92"/>
    <w:rsid w:val="00956245"/>
    <w:rsid w:val="0096182C"/>
    <w:rsid w:val="0097069E"/>
    <w:rsid w:val="009C23B9"/>
    <w:rsid w:val="009D6697"/>
    <w:rsid w:val="009F6607"/>
    <w:rsid w:val="00A35EAD"/>
    <w:rsid w:val="00A457F1"/>
    <w:rsid w:val="00AB130E"/>
    <w:rsid w:val="00AF1418"/>
    <w:rsid w:val="00B40DFE"/>
    <w:rsid w:val="00B54272"/>
    <w:rsid w:val="00B8554D"/>
    <w:rsid w:val="00BC62A1"/>
    <w:rsid w:val="00C37BC6"/>
    <w:rsid w:val="00C83B8A"/>
    <w:rsid w:val="00D54225"/>
    <w:rsid w:val="00E17DDF"/>
    <w:rsid w:val="00E46000"/>
    <w:rsid w:val="00E762EF"/>
    <w:rsid w:val="00E83DD0"/>
    <w:rsid w:val="00EC3AE4"/>
    <w:rsid w:val="00ED40E5"/>
    <w:rsid w:val="00EE5B17"/>
    <w:rsid w:val="00FC2D1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2D9FA-FA86-44E2-9E5D-09C54F33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597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2C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CC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E3B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F5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F57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8F576C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9C23B9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C597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3415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186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046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53036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1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06307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34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51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Алешина</dc:creator>
  <cp:keywords/>
  <dc:description/>
  <cp:lastModifiedBy>Ирина В. Фадеева</cp:lastModifiedBy>
  <cp:revision>40</cp:revision>
  <dcterms:created xsi:type="dcterms:W3CDTF">2018-03-22T14:20:00Z</dcterms:created>
  <dcterms:modified xsi:type="dcterms:W3CDTF">2025-03-27T07:51:00Z</dcterms:modified>
</cp:coreProperties>
</file>